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Ek Bilgi: Risk Yönetimi</w:t>
      </w:r>
      <w:r w:rsidDel="00000000" w:rsidR="00000000" w:rsidRPr="00000000">
        <w:rPr>
          <w:rtl w:val="0"/>
        </w:rPr>
      </w:r>
    </w:p>
    <w:p w:rsidR="00000000" w:rsidDel="00000000" w:rsidP="00000000" w:rsidRDefault="00000000" w:rsidRPr="00000000" w14:paraId="00000002">
      <w:pPr>
        <w:pStyle w:val="Heading2"/>
        <w:rPr>
          <w:color w:val="000000"/>
        </w:rPr>
      </w:pPr>
      <w:r w:rsidDel="00000000" w:rsidR="00000000" w:rsidRPr="00000000">
        <w:rPr>
          <w:color w:val="000000"/>
          <w:rtl w:val="0"/>
        </w:rPr>
        <w:t xml:space="preserve">Risk yönetimi kavramları</w:t>
      </w:r>
    </w:p>
    <w:p w:rsidR="00000000" w:rsidDel="00000000" w:rsidP="00000000" w:rsidRDefault="00000000" w:rsidRPr="00000000" w14:paraId="00000003">
      <w:pPr>
        <w:spacing w:after="240" w:before="240" w:lineRule="auto"/>
        <w:rPr/>
      </w:pPr>
      <w:r w:rsidDel="00000000" w:rsidR="00000000" w:rsidRPr="00000000">
        <w:rPr>
          <w:rtl w:val="0"/>
        </w:rPr>
        <w:t xml:space="preserve">Olasılık</w:t>
      </w:r>
      <w:r w:rsidDel="00000000" w:rsidR="00000000" w:rsidRPr="00000000">
        <w:rPr>
          <w:rtl w:val="0"/>
        </w:rPr>
        <w:t xml:space="preserve"> ve </w:t>
      </w:r>
      <w:r w:rsidDel="00000000" w:rsidR="00000000" w:rsidRPr="00000000">
        <w:rPr>
          <w:rtl w:val="0"/>
        </w:rPr>
        <w:t xml:space="preserve">Etki</w:t>
      </w:r>
      <w:r w:rsidDel="00000000" w:rsidR="00000000" w:rsidRPr="00000000">
        <w:rPr>
          <w:rtl w:val="0"/>
        </w:rPr>
        <w:t xml:space="preserve">, hem niteliksel olarak (Düşük–Orta–Yüksek ölçeğiyle) hem de sayısal olarak 1 (Çok Düşük) ile 5 (Çok Yüksek) arasında bir ölçekle ölçülebilir. Bazı durumlarda ise, bu değerler doğrudan hesaplamalarla da sayısallaştırılabilir; örneğin, riskin yıl içinde gerçekleşme sıklığına dair beklenen değerler ve risk gerçekleştiğinde organizasyon üzerindeki (finansal veya diğer) etkiler temel alınarak ölçülebilir.</w:t>
      </w:r>
    </w:p>
    <w:p w:rsidR="00000000" w:rsidDel="00000000" w:rsidP="00000000" w:rsidRDefault="00000000" w:rsidRPr="00000000" w14:paraId="00000004">
      <w:pPr>
        <w:spacing w:after="240" w:before="240" w:lineRule="auto"/>
        <w:rPr/>
      </w:pPr>
      <w:r w:rsidDel="00000000" w:rsidR="00000000" w:rsidRPr="00000000">
        <w:rPr>
          <w:rtl w:val="0"/>
        </w:rPr>
        <w:t xml:space="preserve">Olası bir depremin organizasyonun operasyonlarını aksatma riskini ele alalım. Eğer organizasyonun bulunduğu bölge, deprem olasılığı açısından düşük riskli bir bölgeyse, </w:t>
      </w:r>
      <w:r w:rsidDel="00000000" w:rsidR="00000000" w:rsidRPr="00000000">
        <w:rPr>
          <w:rtl w:val="0"/>
        </w:rPr>
        <w:t xml:space="preserve">Olasılık</w:t>
      </w:r>
      <w:r w:rsidDel="00000000" w:rsidR="00000000" w:rsidRPr="00000000">
        <w:rPr>
          <w:rtl w:val="0"/>
        </w:rPr>
        <w:t xml:space="preserve"> değeri 1 (çok düşük) olarak belirlenebilir. Ancak yine de bir deprem gerçekleşirse, yaratacağı </w:t>
      </w:r>
      <w:r w:rsidDel="00000000" w:rsidR="00000000" w:rsidRPr="00000000">
        <w:rPr>
          <w:rtl w:val="0"/>
        </w:rPr>
        <w:t xml:space="preserve">Etki</w:t>
      </w:r>
      <w:r w:rsidDel="00000000" w:rsidR="00000000" w:rsidRPr="00000000">
        <w:rPr>
          <w:rtl w:val="0"/>
        </w:rPr>
        <w:t xml:space="preserve"> oldukça yüksek olabileceğinden, bu değer 5 (çok yüksek) olarak değerlendirilir. Bu durumda, </w:t>
      </w:r>
      <w:r w:rsidDel="00000000" w:rsidR="00000000" w:rsidRPr="00000000">
        <w:rPr>
          <w:rtl w:val="0"/>
        </w:rPr>
        <w:t xml:space="preserve">Risk Seviyesi</w:t>
      </w:r>
      <w:r w:rsidDel="00000000" w:rsidR="00000000" w:rsidRPr="00000000">
        <w:rPr>
          <w:rtl w:val="0"/>
        </w:rPr>
        <w:t xml:space="preserve"> Olasılık x Etki formülüyle hesaplandığında: 1 x 5 = 5 olur. 5x5’lik bir Olasılık x Etki matrisinde, en yüksek Risk Skoru 25, en düşük ise 1’dir. Bu örnekte elde edilen 5’lik değer, bu çerçevede düşük risk kategorisinde değerlendirilir. Aşağıda ilgili matris tablolar verilmiştir.</w:t>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259"/>
        <w:gridCol w:w="1279"/>
        <w:gridCol w:w="1282"/>
        <w:gridCol w:w="1282"/>
        <w:gridCol w:w="1282"/>
        <w:gridCol w:w="1282"/>
        <w:tblGridChange w:id="0">
          <w:tblGrid>
            <w:gridCol w:w="1350"/>
            <w:gridCol w:w="1259"/>
            <w:gridCol w:w="1279"/>
            <w:gridCol w:w="1282"/>
            <w:gridCol w:w="1282"/>
            <w:gridCol w:w="1282"/>
            <w:gridCol w:w="1282"/>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r>
          </w:p>
        </w:tc>
        <w:tc>
          <w:tcPr>
            <w:gridSpan w:val="6"/>
          </w:tcPr>
          <w:p w:rsidR="00000000" w:rsidDel="00000000" w:rsidP="00000000" w:rsidRDefault="00000000" w:rsidRPr="00000000" w14:paraId="00000006">
            <w:pPr>
              <w:jc w:val="center"/>
              <w:rPr>
                <w:b w:val="1"/>
              </w:rPr>
            </w:pPr>
            <w:r w:rsidDel="00000000" w:rsidR="00000000" w:rsidRPr="00000000">
              <w:rPr>
                <w:b w:val="1"/>
                <w:rtl w:val="0"/>
              </w:rPr>
              <w:t xml:space="preserve">Etki (E)</w:t>
            </w:r>
          </w:p>
        </w:tc>
      </w:tr>
      <w:tr>
        <w:trPr>
          <w:cantSplit w:val="0"/>
          <w:tblHeader w:val="0"/>
        </w:trPr>
        <w:tc>
          <w:tcPr>
            <w:vMerge w:val="restart"/>
          </w:tcPr>
          <w:p w:rsidR="00000000" w:rsidDel="00000000" w:rsidP="00000000" w:rsidRDefault="00000000" w:rsidRPr="00000000" w14:paraId="0000000C">
            <w:pPr>
              <w:rPr>
                <w:b w:val="1"/>
              </w:rPr>
            </w:pPr>
            <w:r w:rsidDel="00000000" w:rsidR="00000000" w:rsidRPr="00000000">
              <w:rPr>
                <w:b w:val="1"/>
                <w:rtl w:val="0"/>
              </w:rPr>
              <w:t xml:space="preserve">Olasılık (O)</w:t>
            </w:r>
          </w:p>
        </w:tc>
        <w:tc>
          <w:tcPr/>
          <w:p w:rsidR="00000000" w:rsidDel="00000000" w:rsidP="00000000" w:rsidRDefault="00000000" w:rsidRPr="00000000" w14:paraId="0000000D">
            <w:pPr>
              <w:rPr/>
            </w:pPr>
            <w:r w:rsidDel="00000000" w:rsidR="00000000" w:rsidRPr="00000000">
              <w:rPr>
                <w:rtl w:val="0"/>
              </w:rPr>
              <w:t xml:space="preserve">O x E</w:t>
            </w:r>
          </w:p>
        </w:tc>
        <w:tc>
          <w:tcPr>
            <w:shd w:fill="e8e8e8" w:val="clear"/>
          </w:tcPr>
          <w:p w:rsidR="00000000" w:rsidDel="00000000" w:rsidP="00000000" w:rsidRDefault="00000000" w:rsidRPr="00000000" w14:paraId="0000000E">
            <w:pPr>
              <w:rPr/>
            </w:pPr>
            <w:r w:rsidDel="00000000" w:rsidR="00000000" w:rsidRPr="00000000">
              <w:rPr>
                <w:rtl w:val="0"/>
              </w:rPr>
              <w:t xml:space="preserve">1</w:t>
            </w:r>
          </w:p>
        </w:tc>
        <w:tc>
          <w:tcPr>
            <w:shd w:fill="e8e8e8" w:val="clear"/>
          </w:tcPr>
          <w:p w:rsidR="00000000" w:rsidDel="00000000" w:rsidP="00000000" w:rsidRDefault="00000000" w:rsidRPr="00000000" w14:paraId="0000000F">
            <w:pPr>
              <w:rPr/>
            </w:pPr>
            <w:r w:rsidDel="00000000" w:rsidR="00000000" w:rsidRPr="00000000">
              <w:rPr>
                <w:rtl w:val="0"/>
              </w:rPr>
              <w:t xml:space="preserve">2</w:t>
            </w:r>
          </w:p>
        </w:tc>
        <w:tc>
          <w:tcPr>
            <w:shd w:fill="e8e8e8" w:val="clear"/>
          </w:tcPr>
          <w:p w:rsidR="00000000" w:rsidDel="00000000" w:rsidP="00000000" w:rsidRDefault="00000000" w:rsidRPr="00000000" w14:paraId="00000010">
            <w:pPr>
              <w:rPr/>
            </w:pPr>
            <w:r w:rsidDel="00000000" w:rsidR="00000000" w:rsidRPr="00000000">
              <w:rPr>
                <w:rtl w:val="0"/>
              </w:rPr>
              <w:t xml:space="preserve">3</w:t>
            </w:r>
          </w:p>
        </w:tc>
        <w:tc>
          <w:tcPr>
            <w:shd w:fill="e8e8e8" w:val="clear"/>
          </w:tcPr>
          <w:p w:rsidR="00000000" w:rsidDel="00000000" w:rsidP="00000000" w:rsidRDefault="00000000" w:rsidRPr="00000000" w14:paraId="00000011">
            <w:pPr>
              <w:rPr/>
            </w:pPr>
            <w:r w:rsidDel="00000000" w:rsidR="00000000" w:rsidRPr="00000000">
              <w:rPr>
                <w:rtl w:val="0"/>
              </w:rPr>
              <w:t xml:space="preserve">4</w:t>
            </w:r>
          </w:p>
        </w:tc>
        <w:tc>
          <w:tcPr>
            <w:shd w:fill="e8e8e8" w:val="clear"/>
          </w:tcPr>
          <w:p w:rsidR="00000000" w:rsidDel="00000000" w:rsidP="00000000" w:rsidRDefault="00000000" w:rsidRPr="00000000" w14:paraId="00000012">
            <w:pPr>
              <w:rPr/>
            </w:pPr>
            <w:r w:rsidDel="00000000" w:rsidR="00000000" w:rsidRPr="00000000">
              <w:rPr>
                <w:rtl w:val="0"/>
              </w:rPr>
              <w:t xml:space="preserve">5</w:t>
            </w:r>
          </w:p>
        </w:tc>
      </w:tr>
      <w:tr>
        <w:trPr>
          <w:cantSplit w:val="0"/>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8e8e8" w:val="clear"/>
          </w:tcPr>
          <w:p w:rsidR="00000000" w:rsidDel="00000000" w:rsidP="00000000" w:rsidRDefault="00000000" w:rsidRPr="00000000" w14:paraId="00000014">
            <w:pPr>
              <w:rPr/>
            </w:pPr>
            <w:r w:rsidDel="00000000" w:rsidR="00000000" w:rsidRPr="00000000">
              <w:rPr>
                <w:rtl w:val="0"/>
              </w:rPr>
              <w:t xml:space="preserve">1</w:t>
            </w:r>
          </w:p>
        </w:tc>
        <w:tc>
          <w:tcPr>
            <w:shd w:fill="92d050" w:val="clear"/>
          </w:tcPr>
          <w:p w:rsidR="00000000" w:rsidDel="00000000" w:rsidP="00000000" w:rsidRDefault="00000000" w:rsidRPr="00000000" w14:paraId="00000015">
            <w:pPr>
              <w:rPr/>
            </w:pPr>
            <w:r w:rsidDel="00000000" w:rsidR="00000000" w:rsidRPr="00000000">
              <w:rPr>
                <w:rtl w:val="0"/>
              </w:rPr>
              <w:t xml:space="preserve">1</w:t>
            </w:r>
          </w:p>
        </w:tc>
        <w:tc>
          <w:tcPr>
            <w:shd w:fill="92d050" w:val="clear"/>
          </w:tcPr>
          <w:p w:rsidR="00000000" w:rsidDel="00000000" w:rsidP="00000000" w:rsidRDefault="00000000" w:rsidRPr="00000000" w14:paraId="00000016">
            <w:pPr>
              <w:rPr/>
            </w:pPr>
            <w:r w:rsidDel="00000000" w:rsidR="00000000" w:rsidRPr="00000000">
              <w:rPr>
                <w:rtl w:val="0"/>
              </w:rPr>
              <w:t xml:space="preserve">2</w:t>
            </w:r>
          </w:p>
        </w:tc>
        <w:tc>
          <w:tcPr>
            <w:shd w:fill="92d050" w:val="clear"/>
          </w:tcPr>
          <w:p w:rsidR="00000000" w:rsidDel="00000000" w:rsidP="00000000" w:rsidRDefault="00000000" w:rsidRPr="00000000" w14:paraId="00000017">
            <w:pPr>
              <w:rPr/>
            </w:pPr>
            <w:r w:rsidDel="00000000" w:rsidR="00000000" w:rsidRPr="00000000">
              <w:rPr>
                <w:rtl w:val="0"/>
              </w:rPr>
              <w:t xml:space="preserve">3</w:t>
            </w:r>
          </w:p>
        </w:tc>
        <w:tc>
          <w:tcPr>
            <w:shd w:fill="92d050" w:val="clear"/>
          </w:tcPr>
          <w:p w:rsidR="00000000" w:rsidDel="00000000" w:rsidP="00000000" w:rsidRDefault="00000000" w:rsidRPr="00000000" w14:paraId="00000018">
            <w:pPr>
              <w:rPr/>
            </w:pPr>
            <w:r w:rsidDel="00000000" w:rsidR="00000000" w:rsidRPr="00000000">
              <w:rPr>
                <w:rtl w:val="0"/>
              </w:rPr>
              <w:t xml:space="preserve">4</w:t>
            </w:r>
          </w:p>
        </w:tc>
        <w:tc>
          <w:tcPr>
            <w:shd w:fill="00b0f0" w:val="clear"/>
          </w:tcPr>
          <w:p w:rsidR="00000000" w:rsidDel="00000000" w:rsidP="00000000" w:rsidRDefault="00000000" w:rsidRPr="00000000" w14:paraId="00000019">
            <w:pPr>
              <w:rPr/>
            </w:pPr>
            <w:r w:rsidDel="00000000" w:rsidR="00000000" w:rsidRPr="00000000">
              <w:rPr>
                <w:rtl w:val="0"/>
              </w:rPr>
              <w:t xml:space="preserve">5</w:t>
            </w:r>
          </w:p>
        </w:tc>
      </w:tr>
      <w:tr>
        <w:trPr>
          <w:cantSplit w:val="0"/>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8e8e8" w:val="clear"/>
          </w:tcPr>
          <w:p w:rsidR="00000000" w:rsidDel="00000000" w:rsidP="00000000" w:rsidRDefault="00000000" w:rsidRPr="00000000" w14:paraId="0000001B">
            <w:pPr>
              <w:rPr/>
            </w:pPr>
            <w:r w:rsidDel="00000000" w:rsidR="00000000" w:rsidRPr="00000000">
              <w:rPr>
                <w:rtl w:val="0"/>
              </w:rPr>
              <w:t xml:space="preserve">2</w:t>
            </w:r>
          </w:p>
        </w:tc>
        <w:tc>
          <w:tcPr>
            <w:shd w:fill="92d050" w:val="clear"/>
          </w:tcPr>
          <w:p w:rsidR="00000000" w:rsidDel="00000000" w:rsidP="00000000" w:rsidRDefault="00000000" w:rsidRPr="00000000" w14:paraId="0000001C">
            <w:pPr>
              <w:rPr/>
            </w:pPr>
            <w:r w:rsidDel="00000000" w:rsidR="00000000" w:rsidRPr="00000000">
              <w:rPr>
                <w:rtl w:val="0"/>
              </w:rPr>
              <w:t xml:space="preserve">2</w:t>
            </w:r>
          </w:p>
        </w:tc>
        <w:tc>
          <w:tcPr>
            <w:shd w:fill="92d050" w:val="clear"/>
          </w:tcPr>
          <w:p w:rsidR="00000000" w:rsidDel="00000000" w:rsidP="00000000" w:rsidRDefault="00000000" w:rsidRPr="00000000" w14:paraId="0000001D">
            <w:pPr>
              <w:rPr/>
            </w:pPr>
            <w:r w:rsidDel="00000000" w:rsidR="00000000" w:rsidRPr="00000000">
              <w:rPr>
                <w:rtl w:val="0"/>
              </w:rPr>
              <w:t xml:space="preserve">4</w:t>
            </w:r>
          </w:p>
        </w:tc>
        <w:tc>
          <w:tcPr>
            <w:shd w:fill="00b0f0" w:val="clear"/>
          </w:tcPr>
          <w:p w:rsidR="00000000" w:rsidDel="00000000" w:rsidP="00000000" w:rsidRDefault="00000000" w:rsidRPr="00000000" w14:paraId="0000001E">
            <w:pPr>
              <w:rPr/>
            </w:pPr>
            <w:r w:rsidDel="00000000" w:rsidR="00000000" w:rsidRPr="00000000">
              <w:rPr>
                <w:rtl w:val="0"/>
              </w:rPr>
              <w:t xml:space="preserve">6</w:t>
            </w:r>
          </w:p>
        </w:tc>
        <w:tc>
          <w:tcPr>
            <w:shd w:fill="00b0f0" w:val="clear"/>
          </w:tcPr>
          <w:p w:rsidR="00000000" w:rsidDel="00000000" w:rsidP="00000000" w:rsidRDefault="00000000" w:rsidRPr="00000000" w14:paraId="0000001F">
            <w:pPr>
              <w:rPr/>
            </w:pPr>
            <w:r w:rsidDel="00000000" w:rsidR="00000000" w:rsidRPr="00000000">
              <w:rPr>
                <w:rtl w:val="0"/>
              </w:rPr>
              <w:t xml:space="preserve">8</w:t>
            </w:r>
          </w:p>
        </w:tc>
        <w:tc>
          <w:tcPr>
            <w:shd w:fill="ffff00" w:val="clear"/>
          </w:tcPr>
          <w:p w:rsidR="00000000" w:rsidDel="00000000" w:rsidP="00000000" w:rsidRDefault="00000000" w:rsidRPr="00000000" w14:paraId="00000020">
            <w:pPr>
              <w:rPr/>
            </w:pPr>
            <w:r w:rsidDel="00000000" w:rsidR="00000000" w:rsidRPr="00000000">
              <w:rPr>
                <w:rtl w:val="0"/>
              </w:rPr>
              <w:t xml:space="preserve">10</w:t>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8e8e8" w:val="clear"/>
          </w:tcPr>
          <w:p w:rsidR="00000000" w:rsidDel="00000000" w:rsidP="00000000" w:rsidRDefault="00000000" w:rsidRPr="00000000" w14:paraId="00000022">
            <w:pPr>
              <w:rPr/>
            </w:pPr>
            <w:r w:rsidDel="00000000" w:rsidR="00000000" w:rsidRPr="00000000">
              <w:rPr>
                <w:rtl w:val="0"/>
              </w:rPr>
              <w:t xml:space="preserve">3</w:t>
            </w:r>
          </w:p>
        </w:tc>
        <w:tc>
          <w:tcPr>
            <w:shd w:fill="92d050" w:val="clear"/>
          </w:tcPr>
          <w:p w:rsidR="00000000" w:rsidDel="00000000" w:rsidP="00000000" w:rsidRDefault="00000000" w:rsidRPr="00000000" w14:paraId="00000023">
            <w:pPr>
              <w:rPr/>
            </w:pPr>
            <w:r w:rsidDel="00000000" w:rsidR="00000000" w:rsidRPr="00000000">
              <w:rPr>
                <w:rtl w:val="0"/>
              </w:rPr>
              <w:t xml:space="preserve">3</w:t>
            </w:r>
          </w:p>
        </w:tc>
        <w:tc>
          <w:tcPr>
            <w:shd w:fill="00b0f0" w:val="clear"/>
          </w:tcPr>
          <w:p w:rsidR="00000000" w:rsidDel="00000000" w:rsidP="00000000" w:rsidRDefault="00000000" w:rsidRPr="00000000" w14:paraId="00000024">
            <w:pPr>
              <w:rPr/>
            </w:pPr>
            <w:r w:rsidDel="00000000" w:rsidR="00000000" w:rsidRPr="00000000">
              <w:rPr>
                <w:rtl w:val="0"/>
              </w:rPr>
              <w:t xml:space="preserve">6</w:t>
            </w:r>
          </w:p>
        </w:tc>
        <w:tc>
          <w:tcPr>
            <w:shd w:fill="00b0f0" w:val="clear"/>
          </w:tcPr>
          <w:p w:rsidR="00000000" w:rsidDel="00000000" w:rsidP="00000000" w:rsidRDefault="00000000" w:rsidRPr="00000000" w14:paraId="00000025">
            <w:pPr>
              <w:rPr/>
            </w:pPr>
            <w:r w:rsidDel="00000000" w:rsidR="00000000" w:rsidRPr="00000000">
              <w:rPr>
                <w:rtl w:val="0"/>
              </w:rPr>
              <w:t xml:space="preserve">9</w:t>
            </w:r>
          </w:p>
        </w:tc>
        <w:tc>
          <w:tcPr>
            <w:shd w:fill="ffff00" w:val="clear"/>
          </w:tcPr>
          <w:p w:rsidR="00000000" w:rsidDel="00000000" w:rsidP="00000000" w:rsidRDefault="00000000" w:rsidRPr="00000000" w14:paraId="00000026">
            <w:pPr>
              <w:rPr/>
            </w:pPr>
            <w:r w:rsidDel="00000000" w:rsidR="00000000" w:rsidRPr="00000000">
              <w:rPr>
                <w:rtl w:val="0"/>
              </w:rPr>
              <w:t xml:space="preserve">12</w:t>
            </w:r>
          </w:p>
        </w:tc>
        <w:tc>
          <w:tcPr>
            <w:shd w:fill="ffc000" w:val="clear"/>
          </w:tcPr>
          <w:p w:rsidR="00000000" w:rsidDel="00000000" w:rsidP="00000000" w:rsidRDefault="00000000" w:rsidRPr="00000000" w14:paraId="00000027">
            <w:pPr>
              <w:rPr/>
            </w:pPr>
            <w:r w:rsidDel="00000000" w:rsidR="00000000" w:rsidRPr="00000000">
              <w:rPr>
                <w:rtl w:val="0"/>
              </w:rPr>
              <w:t xml:space="preserve">15</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8e8e8" w:val="clear"/>
          </w:tcPr>
          <w:p w:rsidR="00000000" w:rsidDel="00000000" w:rsidP="00000000" w:rsidRDefault="00000000" w:rsidRPr="00000000" w14:paraId="00000029">
            <w:pPr>
              <w:rPr/>
            </w:pPr>
            <w:r w:rsidDel="00000000" w:rsidR="00000000" w:rsidRPr="00000000">
              <w:rPr>
                <w:rtl w:val="0"/>
              </w:rPr>
              <w:t xml:space="preserve">4</w:t>
            </w:r>
          </w:p>
        </w:tc>
        <w:tc>
          <w:tcPr>
            <w:shd w:fill="92d050" w:val="clear"/>
          </w:tcPr>
          <w:p w:rsidR="00000000" w:rsidDel="00000000" w:rsidP="00000000" w:rsidRDefault="00000000" w:rsidRPr="00000000" w14:paraId="0000002A">
            <w:pPr>
              <w:rPr/>
            </w:pPr>
            <w:r w:rsidDel="00000000" w:rsidR="00000000" w:rsidRPr="00000000">
              <w:rPr>
                <w:rtl w:val="0"/>
              </w:rPr>
              <w:t xml:space="preserve">4</w:t>
            </w:r>
          </w:p>
        </w:tc>
        <w:tc>
          <w:tcPr>
            <w:shd w:fill="00b0f0" w:val="clear"/>
          </w:tcPr>
          <w:p w:rsidR="00000000" w:rsidDel="00000000" w:rsidP="00000000" w:rsidRDefault="00000000" w:rsidRPr="00000000" w14:paraId="0000002B">
            <w:pPr>
              <w:rPr/>
            </w:pPr>
            <w:r w:rsidDel="00000000" w:rsidR="00000000" w:rsidRPr="00000000">
              <w:rPr>
                <w:rtl w:val="0"/>
              </w:rPr>
              <w:t xml:space="preserve">8</w:t>
            </w:r>
          </w:p>
        </w:tc>
        <w:tc>
          <w:tcPr>
            <w:shd w:fill="ffff00" w:val="clear"/>
          </w:tcPr>
          <w:p w:rsidR="00000000" w:rsidDel="00000000" w:rsidP="00000000" w:rsidRDefault="00000000" w:rsidRPr="00000000" w14:paraId="0000002C">
            <w:pPr>
              <w:rPr/>
            </w:pPr>
            <w:r w:rsidDel="00000000" w:rsidR="00000000" w:rsidRPr="00000000">
              <w:rPr>
                <w:rtl w:val="0"/>
              </w:rPr>
              <w:t xml:space="preserve">12</w:t>
            </w:r>
          </w:p>
        </w:tc>
        <w:tc>
          <w:tcPr>
            <w:shd w:fill="ffc000" w:val="clear"/>
          </w:tcPr>
          <w:p w:rsidR="00000000" w:rsidDel="00000000" w:rsidP="00000000" w:rsidRDefault="00000000" w:rsidRPr="00000000" w14:paraId="0000002D">
            <w:pPr>
              <w:rPr/>
            </w:pPr>
            <w:r w:rsidDel="00000000" w:rsidR="00000000" w:rsidRPr="00000000">
              <w:rPr>
                <w:rtl w:val="0"/>
              </w:rPr>
              <w:t xml:space="preserve">16</w:t>
            </w:r>
          </w:p>
        </w:tc>
        <w:tc>
          <w:tcPr>
            <w:shd w:fill="ff0000" w:val="clear"/>
          </w:tcPr>
          <w:p w:rsidR="00000000" w:rsidDel="00000000" w:rsidP="00000000" w:rsidRDefault="00000000" w:rsidRPr="00000000" w14:paraId="0000002E">
            <w:pPr>
              <w:rPr/>
            </w:pPr>
            <w:r w:rsidDel="00000000" w:rsidR="00000000" w:rsidRPr="00000000">
              <w:rPr>
                <w:rtl w:val="0"/>
              </w:rPr>
              <w:t xml:space="preserve">20</w:t>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8e8e8" w:val="clear"/>
          </w:tcPr>
          <w:p w:rsidR="00000000" w:rsidDel="00000000" w:rsidP="00000000" w:rsidRDefault="00000000" w:rsidRPr="00000000" w14:paraId="00000030">
            <w:pPr>
              <w:rPr/>
            </w:pPr>
            <w:r w:rsidDel="00000000" w:rsidR="00000000" w:rsidRPr="00000000">
              <w:rPr>
                <w:rtl w:val="0"/>
              </w:rPr>
              <w:t xml:space="preserve">5</w:t>
            </w:r>
          </w:p>
        </w:tc>
        <w:tc>
          <w:tcPr>
            <w:shd w:fill="00b0f0" w:val="clear"/>
          </w:tcPr>
          <w:p w:rsidR="00000000" w:rsidDel="00000000" w:rsidP="00000000" w:rsidRDefault="00000000" w:rsidRPr="00000000" w14:paraId="00000031">
            <w:pPr>
              <w:rPr/>
            </w:pPr>
            <w:r w:rsidDel="00000000" w:rsidR="00000000" w:rsidRPr="00000000">
              <w:rPr>
                <w:rtl w:val="0"/>
              </w:rPr>
              <w:t xml:space="preserve">5</w:t>
            </w:r>
          </w:p>
        </w:tc>
        <w:tc>
          <w:tcPr>
            <w:shd w:fill="ffff00" w:val="clear"/>
          </w:tcPr>
          <w:p w:rsidR="00000000" w:rsidDel="00000000" w:rsidP="00000000" w:rsidRDefault="00000000" w:rsidRPr="00000000" w14:paraId="00000032">
            <w:pPr>
              <w:rPr/>
            </w:pPr>
            <w:r w:rsidDel="00000000" w:rsidR="00000000" w:rsidRPr="00000000">
              <w:rPr>
                <w:rtl w:val="0"/>
              </w:rPr>
              <w:t xml:space="preserve">10</w:t>
            </w:r>
          </w:p>
        </w:tc>
        <w:tc>
          <w:tcPr>
            <w:shd w:fill="ffc000" w:val="clear"/>
          </w:tcPr>
          <w:p w:rsidR="00000000" w:rsidDel="00000000" w:rsidP="00000000" w:rsidRDefault="00000000" w:rsidRPr="00000000" w14:paraId="00000033">
            <w:pPr>
              <w:rPr/>
            </w:pPr>
            <w:r w:rsidDel="00000000" w:rsidR="00000000" w:rsidRPr="00000000">
              <w:rPr>
                <w:rtl w:val="0"/>
              </w:rPr>
              <w:t xml:space="preserve">15</w:t>
            </w:r>
          </w:p>
        </w:tc>
        <w:tc>
          <w:tcPr>
            <w:shd w:fill="ff0000" w:val="clear"/>
          </w:tcPr>
          <w:p w:rsidR="00000000" w:rsidDel="00000000" w:rsidP="00000000" w:rsidRDefault="00000000" w:rsidRPr="00000000" w14:paraId="00000034">
            <w:pPr>
              <w:rPr/>
            </w:pPr>
            <w:r w:rsidDel="00000000" w:rsidR="00000000" w:rsidRPr="00000000">
              <w:rPr>
                <w:rtl w:val="0"/>
              </w:rPr>
              <w:t xml:space="preserve">20</w:t>
            </w:r>
          </w:p>
        </w:tc>
        <w:tc>
          <w:tcPr>
            <w:shd w:fill="ff0000" w:val="clear"/>
          </w:tcPr>
          <w:p w:rsidR="00000000" w:rsidDel="00000000" w:rsidP="00000000" w:rsidRDefault="00000000" w:rsidRPr="00000000" w14:paraId="00000035">
            <w:pPr>
              <w:rPr/>
            </w:pPr>
            <w:r w:rsidDel="00000000" w:rsidR="00000000" w:rsidRPr="00000000">
              <w:rPr>
                <w:rtl w:val="0"/>
              </w:rPr>
              <w:t xml:space="preserve">25</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Tablo X. Olasılık - etki matrisi</w:t>
      </w:r>
    </w:p>
    <w:p w:rsidR="00000000" w:rsidDel="00000000" w:rsidP="00000000" w:rsidRDefault="00000000" w:rsidRPr="00000000" w14:paraId="00000038">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000000" w:val="clear"/>
          </w:tcPr>
          <w:p w:rsidR="00000000" w:rsidDel="00000000" w:rsidP="00000000" w:rsidRDefault="00000000" w:rsidRPr="00000000" w14:paraId="00000039">
            <w:pPr>
              <w:jc w:val="center"/>
              <w:rPr>
                <w:b w:val="1"/>
              </w:rPr>
            </w:pPr>
            <w:r w:rsidDel="00000000" w:rsidR="00000000" w:rsidRPr="00000000">
              <w:rPr>
                <w:rFonts w:ascii="Arial" w:cs="Arial" w:eastAsia="Arial" w:hAnsi="Arial"/>
                <w:b w:val="1"/>
                <w:color w:val="ffffff"/>
                <w:sz w:val="22"/>
                <w:szCs w:val="22"/>
                <w:rtl w:val="0"/>
              </w:rPr>
              <w:t xml:space="preserve">Risk Skoru (Olasılık x Etki)</w:t>
            </w:r>
            <w:r w:rsidDel="00000000" w:rsidR="00000000" w:rsidRPr="00000000">
              <w:rPr>
                <w:rtl w:val="0"/>
              </w:rPr>
            </w:r>
          </w:p>
        </w:tc>
        <w:tc>
          <w:tcPr>
            <w:shd w:fill="000000" w:val="clear"/>
          </w:tcPr>
          <w:p w:rsidR="00000000" w:rsidDel="00000000" w:rsidP="00000000" w:rsidRDefault="00000000" w:rsidRPr="00000000" w14:paraId="0000003A">
            <w:pPr>
              <w:jc w:val="center"/>
              <w:rPr>
                <w:b w:val="1"/>
              </w:rPr>
            </w:pPr>
            <w:r w:rsidDel="00000000" w:rsidR="00000000" w:rsidRPr="00000000">
              <w:rPr>
                <w:rFonts w:ascii="Arial" w:cs="Arial" w:eastAsia="Arial" w:hAnsi="Arial"/>
                <w:b w:val="1"/>
                <w:color w:val="ffffff"/>
                <w:sz w:val="22"/>
                <w:szCs w:val="22"/>
                <w:rtl w:val="0"/>
              </w:rPr>
              <w:t xml:space="preserve">Risk Seviyesi</w:t>
            </w: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3B">
            <w:pPr>
              <w:rPr/>
            </w:pPr>
            <w:r w:rsidDel="00000000" w:rsidR="00000000" w:rsidRPr="00000000">
              <w:rPr>
                <w:rtl w:val="0"/>
              </w:rPr>
              <w:t xml:space="preserve">20-25</w:t>
            </w:r>
          </w:p>
        </w:tc>
        <w:tc>
          <w:tcPr>
            <w:shd w:fill="ff0000" w:val="clear"/>
          </w:tcPr>
          <w:p w:rsidR="00000000" w:rsidDel="00000000" w:rsidP="00000000" w:rsidRDefault="00000000" w:rsidRPr="00000000" w14:paraId="0000003C">
            <w:pPr>
              <w:rPr/>
            </w:pPr>
            <w:r w:rsidDel="00000000" w:rsidR="00000000" w:rsidRPr="00000000">
              <w:rPr>
                <w:rtl w:val="0"/>
              </w:rPr>
              <w:t xml:space="preserve">Çok Yüksek</w:t>
            </w:r>
          </w:p>
        </w:tc>
      </w:tr>
      <w:tr>
        <w:trPr>
          <w:cantSplit w:val="0"/>
          <w:tblHeader w:val="0"/>
        </w:trPr>
        <w:tc>
          <w:tcPr>
            <w:shd w:fill="ffc000" w:val="clear"/>
          </w:tcPr>
          <w:p w:rsidR="00000000" w:rsidDel="00000000" w:rsidP="00000000" w:rsidRDefault="00000000" w:rsidRPr="00000000" w14:paraId="0000003D">
            <w:pPr>
              <w:rPr/>
            </w:pPr>
            <w:r w:rsidDel="00000000" w:rsidR="00000000" w:rsidRPr="00000000">
              <w:rPr>
                <w:rtl w:val="0"/>
              </w:rPr>
              <w:t xml:space="preserve">15-16</w:t>
            </w:r>
          </w:p>
        </w:tc>
        <w:tc>
          <w:tcPr>
            <w:shd w:fill="ffc000" w:val="clear"/>
          </w:tcPr>
          <w:p w:rsidR="00000000" w:rsidDel="00000000" w:rsidP="00000000" w:rsidRDefault="00000000" w:rsidRPr="00000000" w14:paraId="0000003E">
            <w:pPr>
              <w:rPr/>
            </w:pPr>
            <w:r w:rsidDel="00000000" w:rsidR="00000000" w:rsidRPr="00000000">
              <w:rPr>
                <w:rtl w:val="0"/>
              </w:rPr>
              <w:t xml:space="preserve">Yüksek</w:t>
            </w:r>
          </w:p>
        </w:tc>
      </w:tr>
      <w:tr>
        <w:trPr>
          <w:cantSplit w:val="0"/>
          <w:tblHeader w:val="0"/>
        </w:trPr>
        <w:tc>
          <w:tcPr>
            <w:shd w:fill="ffff00" w:val="clear"/>
          </w:tcPr>
          <w:p w:rsidR="00000000" w:rsidDel="00000000" w:rsidP="00000000" w:rsidRDefault="00000000" w:rsidRPr="00000000" w14:paraId="0000003F">
            <w:pPr>
              <w:rPr/>
            </w:pPr>
            <w:r w:rsidDel="00000000" w:rsidR="00000000" w:rsidRPr="00000000">
              <w:rPr>
                <w:rtl w:val="0"/>
              </w:rPr>
              <w:t xml:space="preserve">10-12</w:t>
            </w:r>
          </w:p>
        </w:tc>
        <w:tc>
          <w:tcPr>
            <w:shd w:fill="ffff00" w:val="clear"/>
          </w:tcPr>
          <w:p w:rsidR="00000000" w:rsidDel="00000000" w:rsidP="00000000" w:rsidRDefault="00000000" w:rsidRPr="00000000" w14:paraId="00000040">
            <w:pPr>
              <w:rPr/>
            </w:pPr>
            <w:r w:rsidDel="00000000" w:rsidR="00000000" w:rsidRPr="00000000">
              <w:rPr>
                <w:rtl w:val="0"/>
              </w:rPr>
              <w:t xml:space="preserve">Orta</w:t>
            </w:r>
          </w:p>
        </w:tc>
      </w:tr>
      <w:tr>
        <w:trPr>
          <w:cantSplit w:val="0"/>
          <w:tblHeader w:val="0"/>
        </w:trPr>
        <w:tc>
          <w:tcPr>
            <w:shd w:fill="00b0f0" w:val="clear"/>
          </w:tcPr>
          <w:p w:rsidR="00000000" w:rsidDel="00000000" w:rsidP="00000000" w:rsidRDefault="00000000" w:rsidRPr="00000000" w14:paraId="00000041">
            <w:pPr>
              <w:rPr/>
            </w:pPr>
            <w:r w:rsidDel="00000000" w:rsidR="00000000" w:rsidRPr="00000000">
              <w:rPr>
                <w:rtl w:val="0"/>
              </w:rPr>
              <w:t xml:space="preserve">5-9</w:t>
            </w:r>
          </w:p>
        </w:tc>
        <w:tc>
          <w:tcPr>
            <w:shd w:fill="00b0f0" w:val="clear"/>
          </w:tcPr>
          <w:p w:rsidR="00000000" w:rsidDel="00000000" w:rsidP="00000000" w:rsidRDefault="00000000" w:rsidRPr="00000000" w14:paraId="00000042">
            <w:pPr>
              <w:rPr/>
            </w:pPr>
            <w:r w:rsidDel="00000000" w:rsidR="00000000" w:rsidRPr="00000000">
              <w:rPr>
                <w:rtl w:val="0"/>
              </w:rPr>
              <w:t xml:space="preserve">Düşük</w:t>
            </w:r>
          </w:p>
        </w:tc>
      </w:tr>
      <w:tr>
        <w:trPr>
          <w:cantSplit w:val="0"/>
          <w:tblHeader w:val="0"/>
        </w:trPr>
        <w:tc>
          <w:tcPr>
            <w:shd w:fill="92d050" w:val="clear"/>
          </w:tcPr>
          <w:p w:rsidR="00000000" w:rsidDel="00000000" w:rsidP="00000000" w:rsidRDefault="00000000" w:rsidRPr="00000000" w14:paraId="00000043">
            <w:pPr>
              <w:rPr/>
            </w:pPr>
            <w:r w:rsidDel="00000000" w:rsidR="00000000" w:rsidRPr="00000000">
              <w:rPr>
                <w:rtl w:val="0"/>
              </w:rPr>
              <w:t xml:space="preserve">1-4</w:t>
            </w:r>
          </w:p>
        </w:tc>
        <w:tc>
          <w:tcPr>
            <w:shd w:fill="92d050" w:val="clear"/>
          </w:tcPr>
          <w:p w:rsidR="00000000" w:rsidDel="00000000" w:rsidP="00000000" w:rsidRDefault="00000000" w:rsidRPr="00000000" w14:paraId="00000044">
            <w:pPr>
              <w:rPr/>
            </w:pPr>
            <w:r w:rsidDel="00000000" w:rsidR="00000000" w:rsidRPr="00000000">
              <w:rPr>
                <w:rtl w:val="0"/>
              </w:rPr>
              <w:t xml:space="preserve">Çok Düşük</w:t>
            </w:r>
          </w:p>
        </w:tc>
      </w:tr>
    </w:tbl>
    <w:p w:rsidR="00000000" w:rsidDel="00000000" w:rsidP="00000000" w:rsidRDefault="00000000" w:rsidRPr="00000000" w14:paraId="00000045">
      <w:pPr>
        <w:rPr/>
      </w:pPr>
      <w:r w:rsidDel="00000000" w:rsidR="00000000" w:rsidRPr="00000000">
        <w:rPr>
          <w:i w:val="1"/>
          <w:rtl w:val="0"/>
        </w:rPr>
        <w:t xml:space="preserve">Tablo X. Risk Seviyeleri</w:t>
      </w: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color w:val="000000"/>
          <w:rtl w:val="0"/>
        </w:rPr>
        <w:t xml:space="preserve">Risk yönetimi uygulaması</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yönetimi uygulamaları büyük ölçüde, bir önceki bölümde açıklanan </w:t>
      </w:r>
      <w:r w:rsidDel="00000000" w:rsidR="00000000" w:rsidRPr="00000000">
        <w:rPr>
          <w:rtl w:val="0"/>
        </w:rPr>
        <w:t xml:space="preserve">risk değerlendirme adımlarının</w:t>
      </w:r>
      <w:r w:rsidDel="00000000" w:rsidR="00000000" w:rsidRPr="00000000">
        <w:rPr>
          <w:rtl w:val="0"/>
        </w:rPr>
        <w:t xml:space="preserve"> sistematik biçimde yürütülmesine dayanır. Ancak bu sürecin etkili olabilmesi için bazı temel süreçlerin ve kayıtların da tanımlanmış olması gerekir.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Öncelikle, risklerin belgeleneceği bir yapı oluşturulmalıdır: bu yapı </w:t>
      </w:r>
      <w:r w:rsidDel="00000000" w:rsidR="00000000" w:rsidRPr="00000000">
        <w:rPr>
          <w:rtl w:val="0"/>
        </w:rPr>
        <w:t xml:space="preserve">risk kaydı </w:t>
      </w:r>
      <w:r w:rsidDel="00000000" w:rsidR="00000000" w:rsidRPr="00000000">
        <w:rPr>
          <w:rtl w:val="0"/>
        </w:rPr>
        <w:t xml:space="preserve">olarak adlandırılır. Risk kaydı, risk yönetiminden sorumlu ilgili personelin erişebileceği şekilde hazırlanmış bir elektronik tablo olabilir. Daha gelişmiş ortamlarda, elektronik tablolar yetersiz kalabilir ve bunun yerine bir veritabanı kullanımı daha etkili olacaktır. Hangi yöntem seçilirse seçilsin, risk bilgilerinin kolaylıkla kaydedilebileceği ve güncellenebileceği bir yapı sunulması önemlidir.</w:t>
      </w:r>
    </w:p>
    <w:p w:rsidR="00000000" w:rsidDel="00000000" w:rsidP="00000000" w:rsidRDefault="00000000" w:rsidRPr="00000000" w14:paraId="00000049">
      <w:pPr>
        <w:spacing w:after="240" w:before="240" w:lineRule="auto"/>
        <w:rPr/>
      </w:pPr>
      <w:r w:rsidDel="00000000" w:rsidR="00000000" w:rsidRPr="00000000">
        <w:rPr>
          <w:rtl w:val="0"/>
        </w:rPr>
        <w:t xml:space="preserve">Bir risk kaydında yer alması gereken temel alanlar şunlardır: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Tanımlayıcı kod (her kayda ait tekil seri numarası)</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Riskin kayıt tarihi</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Riskin tanımı</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Riskin </w:t>
      </w:r>
      <w:r w:rsidDel="00000000" w:rsidR="00000000" w:rsidRPr="00000000">
        <w:rPr>
          <w:rtl w:val="0"/>
        </w:rPr>
        <w:t xml:space="preserve">Olasılık</w:t>
      </w:r>
      <w:r w:rsidDel="00000000" w:rsidR="00000000" w:rsidRPr="00000000">
        <w:rPr>
          <w:rtl w:val="0"/>
        </w:rPr>
        <w:t xml:space="preserve"> değeri (1–5 arası)</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Riskin </w:t>
      </w:r>
      <w:r w:rsidDel="00000000" w:rsidR="00000000" w:rsidRPr="00000000">
        <w:rPr>
          <w:rtl w:val="0"/>
        </w:rPr>
        <w:t xml:space="preserve">Etki</w:t>
      </w:r>
      <w:r w:rsidDel="00000000" w:rsidR="00000000" w:rsidRPr="00000000">
        <w:rPr>
          <w:rtl w:val="0"/>
        </w:rPr>
        <w:t xml:space="preserve"> değeri (1–5 arası)</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Hesaplanan </w:t>
      </w:r>
      <w:r w:rsidDel="00000000" w:rsidR="00000000" w:rsidRPr="00000000">
        <w:rPr>
          <w:rtl w:val="0"/>
        </w:rPr>
        <w:t xml:space="preserve">Risk Skoru</w:t>
      </w:r>
      <w:r w:rsidDel="00000000" w:rsidR="00000000" w:rsidRPr="00000000">
        <w:rPr>
          <w:rtl w:val="0"/>
        </w:rPr>
        <w:t xml:space="preserve"> (Olasılık x Etki, 1–25 arası)</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Değerlendirme sonucu oluşan </w:t>
      </w:r>
      <w:r w:rsidDel="00000000" w:rsidR="00000000" w:rsidRPr="00000000">
        <w:rPr>
          <w:rtl w:val="0"/>
        </w:rPr>
        <w:t xml:space="preserve">Risk Seviyesi</w:t>
      </w:r>
      <w:r w:rsidDel="00000000" w:rsidR="00000000" w:rsidRPr="00000000">
        <w:rPr>
          <w:rtl w:val="0"/>
        </w:rPr>
        <w:t xml:space="preserve"> (Çok Düşük, Düşük, Orta, Yüksek, Çok Yüksek)</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Riskle nasıl başa çıkılacağına dair karar (Azalt, Kabul Et, Devret)</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Riskin azaltılması yönünde alınan önlem (uygulanan kontrol)</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 devredildiyse, riski devralan kişi veya ekip</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Azaltma için kontrol uygulandıysa, </w:t>
      </w:r>
      <w:r w:rsidDel="00000000" w:rsidR="00000000" w:rsidRPr="00000000">
        <w:rPr>
          <w:rtl w:val="0"/>
        </w:rPr>
        <w:t xml:space="preserve">Artık Risk</w:t>
      </w:r>
      <w:r w:rsidDel="00000000" w:rsidR="00000000" w:rsidRPr="00000000">
        <w:rPr>
          <w:rtl w:val="0"/>
        </w:rPr>
        <w:t xml:space="preserve"> (kontrol sonrasında kalan Olasılık x Etki değeri)</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Kaydın durumu (Yeni, Beklemede, Kapalı, İzleniyor)</w:t>
        <w:br w:type="textWrapping"/>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 </w:t>
      </w:r>
      <w:r w:rsidDel="00000000" w:rsidR="00000000" w:rsidRPr="00000000">
        <w:rPr>
          <w:rtl w:val="0"/>
        </w:rPr>
        <w:t xml:space="preserve">risk kaydı</w:t>
      </w:r>
      <w:r w:rsidDel="00000000" w:rsidR="00000000" w:rsidRPr="00000000">
        <w:rPr>
          <w:rtl w:val="0"/>
        </w:rPr>
        <w:t xml:space="preserve"> oluşturulduktan sonra, organizasyonun </w:t>
      </w:r>
      <w:r w:rsidDel="00000000" w:rsidR="00000000" w:rsidRPr="00000000">
        <w:rPr>
          <w:i w:val="1"/>
          <w:rtl w:val="0"/>
        </w:rPr>
        <w:t xml:space="preserve">her seviyesinde </w:t>
      </w:r>
      <w:r w:rsidDel="00000000" w:rsidR="00000000" w:rsidRPr="00000000">
        <w:rPr>
          <w:rtl w:val="0"/>
        </w:rPr>
        <w:t xml:space="preserve">düzenli </w:t>
      </w:r>
      <w:r w:rsidDel="00000000" w:rsidR="00000000" w:rsidRPr="00000000">
        <w:rPr>
          <w:rtl w:val="0"/>
        </w:rPr>
        <w:t xml:space="preserve">risk yönetim toplantıları</w:t>
      </w:r>
      <w:r w:rsidDel="00000000" w:rsidR="00000000" w:rsidRPr="00000000">
        <w:rPr>
          <w:rtl w:val="0"/>
        </w:rPr>
        <w:t xml:space="preserve"> yapılması gerekir. Bu toplantıların sıklığı, organizasyonun yapısına ve ilgili seviyelerde yürütülen faaliyetlerin doğasına bağlı olarak değişebilir. Bazı organizasyonlar yılda yalnızca bir kez kapsamlı bir risk değerlendirmesi yapar ve buna göre aksiyon alırken; bazıları bu süreci üç ayda bir, hatta aylık toplantılarla daha dinamik şekilde yönetir. Toplantıların sıklığı ne olursa olsun, organizasyondaki tüm çalışanların riskleri tanımlama ve yönetime bildirme konusunda bilgilendirilmiş ve yetkilendirilmiş olması büyük önem taşır. Bu farkındalık, </w:t>
      </w:r>
      <w:r w:rsidDel="00000000" w:rsidR="00000000" w:rsidRPr="00000000">
        <w:rPr>
          <w:i w:val="1"/>
          <w:rtl w:val="0"/>
        </w:rPr>
        <w:t xml:space="preserve">risk temelli düşünme</w:t>
      </w:r>
      <w:r w:rsidDel="00000000" w:rsidR="00000000" w:rsidRPr="00000000">
        <w:rPr>
          <w:rtl w:val="0"/>
        </w:rPr>
        <w:t xml:space="preserve"> (risk-based thinking) yaklaşımını ifade eder. Organizasyonun tüm faaliyetlerinde, atılan her adımın ve alınan her kararın potansiyel riskler içerdiği bilinciyle hareket edilmelidir. Bu sayede, organizasyondaki herkes, pozisyonu ne olursa olsun, risk yönetimi sürecine katkı sağlayabilir.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Aylık, üç aylık veya yıllık</w:t>
      </w:r>
      <w:r w:rsidDel="00000000" w:rsidR="00000000" w:rsidRPr="00000000">
        <w:rPr>
          <w:rtl w:val="0"/>
        </w:rPr>
        <w:t xml:space="preserve"> olarak düzenlenen bu toplantılarda, Risk Kaydı güncellenir: yeni riskler kayda alınır, mevcut risklerin durumu gözden geçirilir ve alınan aksiyonlara dair gelişmeler değerlendirilir. Toplantılara yalnızca ilgili ekipler değil, konuyla bağlantılı </w:t>
      </w:r>
      <w:r w:rsidDel="00000000" w:rsidR="00000000" w:rsidRPr="00000000">
        <w:rPr>
          <w:rtl w:val="0"/>
        </w:rPr>
        <w:t xml:space="preserve">tüm paydaşların</w:t>
      </w:r>
      <w:r w:rsidDel="00000000" w:rsidR="00000000" w:rsidRPr="00000000">
        <w:rPr>
          <w:rtl w:val="0"/>
        </w:rPr>
        <w:t xml:space="preserve"> katılması sağlanmalıdır. Özellikle </w:t>
      </w:r>
      <w:r w:rsidDel="00000000" w:rsidR="00000000" w:rsidRPr="00000000">
        <w:rPr>
          <w:rtl w:val="0"/>
        </w:rPr>
        <w:t xml:space="preserve">devredilmiş riskler</w:t>
      </w:r>
      <w:r w:rsidDel="00000000" w:rsidR="00000000" w:rsidRPr="00000000">
        <w:rPr>
          <w:rtl w:val="0"/>
        </w:rPr>
        <w:t xml:space="preserve"> söz konusuysa, bu risklerin yeni sahibi olan kişi ya da ekip toplantıya katılarak mevcut duruma dair bilgi sunmalıdır.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Ayrıca, risklerin </w:t>
      </w:r>
      <w:r w:rsidDel="00000000" w:rsidR="00000000" w:rsidRPr="00000000">
        <w:rPr>
          <w:rtl w:val="0"/>
        </w:rPr>
        <w:t xml:space="preserve">üst yönetim seviyelerine eskale edilebilmesini</w:t>
      </w:r>
      <w:r w:rsidDel="00000000" w:rsidR="00000000" w:rsidRPr="00000000">
        <w:rPr>
          <w:rtl w:val="0"/>
        </w:rPr>
        <w:t xml:space="preserve"> sağlayan bir yapı kurulmalıdır. Örneğin bir ekip, sadece kendi birimini değil, birden fazla birimi etkileyebilecek bir riski tespit ettiğinde, bunu üst yönetime taşıyabilmeli ve daha geniş düzeyde ele alınmasını sağlayabilmelidir. Benzer şekilde, eğer ekip bu riski kendi kaynaklarıyla yönetemiyorsa, gerekli desteği alabilmek adına bu durumu eskale etmeli ve yöneticilerden destek talep etmelidir.</w:t>
      </w:r>
    </w:p>
    <w:p w:rsidR="00000000" w:rsidDel="00000000" w:rsidP="00000000" w:rsidRDefault="00000000" w:rsidRPr="00000000" w14:paraId="0000005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y" w:default="1">
    <w:name w:val="Normal"/>
    <w:qFormat w:val="1"/>
    <w:rsid w:val="00EB480E"/>
    <w:pPr>
      <w:spacing w:after="0" w:line="240" w:lineRule="auto"/>
    </w:pPr>
  </w:style>
  <w:style w:type="paragraph" w:styleId="Nadpis1">
    <w:name w:val="heading 1"/>
    <w:basedOn w:val="Normlny"/>
    <w:next w:val="Normlny"/>
    <w:link w:val="Nadpis1Char"/>
    <w:uiPriority w:val="9"/>
    <w:qFormat w:val="1"/>
    <w:rsid w:val="00EB48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y"/>
    <w:next w:val="Normlny"/>
    <w:link w:val="Nadpis2Char"/>
    <w:uiPriority w:val="9"/>
    <w:unhideWhenUsed w:val="1"/>
    <w:qFormat w:val="1"/>
    <w:rsid w:val="00EB48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y"/>
    <w:next w:val="Normlny"/>
    <w:link w:val="Nadpis3Char"/>
    <w:uiPriority w:val="9"/>
    <w:semiHidden w:val="1"/>
    <w:unhideWhenUsed w:val="1"/>
    <w:qFormat w:val="1"/>
    <w:rsid w:val="00EB480E"/>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y"/>
    <w:next w:val="Normlny"/>
    <w:link w:val="Nadpis4Char"/>
    <w:uiPriority w:val="9"/>
    <w:semiHidden w:val="1"/>
    <w:unhideWhenUsed w:val="1"/>
    <w:qFormat w:val="1"/>
    <w:rsid w:val="00EB480E"/>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y"/>
    <w:next w:val="Normlny"/>
    <w:link w:val="Nadpis5Char"/>
    <w:uiPriority w:val="9"/>
    <w:semiHidden w:val="1"/>
    <w:unhideWhenUsed w:val="1"/>
    <w:qFormat w:val="1"/>
    <w:rsid w:val="00EB480E"/>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y"/>
    <w:next w:val="Normlny"/>
    <w:link w:val="Nadpis6Char"/>
    <w:uiPriority w:val="9"/>
    <w:semiHidden w:val="1"/>
    <w:unhideWhenUsed w:val="1"/>
    <w:qFormat w:val="1"/>
    <w:rsid w:val="00EB480E"/>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EB480E"/>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EB480E"/>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EB480E"/>
    <w:pPr>
      <w:keepNext w:val="1"/>
      <w:keepLines w:val="1"/>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EB480E"/>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Predvolenpsmoodseku"/>
    <w:link w:val="Nadpis2"/>
    <w:uiPriority w:val="9"/>
    <w:rsid w:val="00EB480E"/>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Predvolenpsmoodseku"/>
    <w:link w:val="Nadpis3"/>
    <w:uiPriority w:val="9"/>
    <w:semiHidden w:val="1"/>
    <w:rsid w:val="00EB480E"/>
    <w:rPr>
      <w:rFonts w:cstheme="majorBidi" w:eastAsiaTheme="majorEastAsia"/>
      <w:color w:val="0f4761" w:themeColor="accent1" w:themeShade="0000BF"/>
      <w:sz w:val="28"/>
      <w:szCs w:val="28"/>
    </w:rPr>
  </w:style>
  <w:style w:type="character" w:styleId="Nadpis4Char" w:customStyle="1">
    <w:name w:val="Nadpis 4 Char"/>
    <w:basedOn w:val="Predvolenpsmoodseku"/>
    <w:link w:val="Nadpis4"/>
    <w:uiPriority w:val="9"/>
    <w:semiHidden w:val="1"/>
    <w:rsid w:val="00EB480E"/>
    <w:rPr>
      <w:rFonts w:cstheme="majorBidi" w:eastAsiaTheme="majorEastAsia"/>
      <w:i w:val="1"/>
      <w:iCs w:val="1"/>
      <w:color w:val="0f4761" w:themeColor="accent1" w:themeShade="0000BF"/>
    </w:rPr>
  </w:style>
  <w:style w:type="character" w:styleId="Nadpis5Char" w:customStyle="1">
    <w:name w:val="Nadpis 5 Char"/>
    <w:basedOn w:val="Predvolenpsmoodseku"/>
    <w:link w:val="Nadpis5"/>
    <w:uiPriority w:val="9"/>
    <w:semiHidden w:val="1"/>
    <w:rsid w:val="00EB480E"/>
    <w:rPr>
      <w:rFonts w:cstheme="majorBidi" w:eastAsiaTheme="majorEastAsia"/>
      <w:color w:val="0f4761" w:themeColor="accent1" w:themeShade="0000BF"/>
    </w:rPr>
  </w:style>
  <w:style w:type="character" w:styleId="Nadpis6Char" w:customStyle="1">
    <w:name w:val="Nadpis 6 Char"/>
    <w:basedOn w:val="Predvolenpsmoodseku"/>
    <w:link w:val="Nadpis6"/>
    <w:uiPriority w:val="9"/>
    <w:semiHidden w:val="1"/>
    <w:rsid w:val="00EB480E"/>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EB480E"/>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EB480E"/>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EB480E"/>
    <w:rPr>
      <w:rFonts w:cstheme="majorBidi" w:eastAsiaTheme="majorEastAsia"/>
      <w:color w:val="272727" w:themeColor="text1" w:themeTint="0000D8"/>
    </w:rPr>
  </w:style>
  <w:style w:type="paragraph" w:styleId="Nzov">
    <w:name w:val="Title"/>
    <w:basedOn w:val="Normlny"/>
    <w:next w:val="Normlny"/>
    <w:link w:val="NzovChar"/>
    <w:uiPriority w:val="10"/>
    <w:qFormat w:val="1"/>
    <w:rsid w:val="00EB480E"/>
    <w:pPr>
      <w:spacing w:after="80"/>
      <w:contextualSpacing w:val="1"/>
    </w:pPr>
    <w:rPr>
      <w:rFonts w:asciiTheme="majorHAnsi" w:cstheme="majorBidi" w:eastAsiaTheme="majorEastAsia" w:hAnsiTheme="majorHAnsi"/>
      <w:spacing w:val="-10"/>
      <w:kern w:val="28"/>
      <w:sz w:val="56"/>
      <w:szCs w:val="56"/>
    </w:rPr>
  </w:style>
  <w:style w:type="character" w:styleId="NzovChar" w:customStyle="1">
    <w:name w:val="Názov Char"/>
    <w:basedOn w:val="Predvolenpsmoodseku"/>
    <w:link w:val="Nzov"/>
    <w:uiPriority w:val="10"/>
    <w:rsid w:val="00EB480E"/>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rsid w:val="00EB480E"/>
    <w:pPr>
      <w:numPr>
        <w:ilvl w:val="1"/>
      </w:numPr>
    </w:pPr>
    <w:rPr>
      <w:rFonts w:cstheme="majorBidi" w:eastAsiaTheme="majorEastAsia"/>
      <w:color w:val="595959" w:themeColor="text1" w:themeTint="0000A6"/>
      <w:spacing w:val="15"/>
      <w:sz w:val="28"/>
      <w:szCs w:val="28"/>
    </w:rPr>
  </w:style>
  <w:style w:type="character" w:styleId="PodtitulChar" w:customStyle="1">
    <w:name w:val="Podtitul Char"/>
    <w:basedOn w:val="Predvolenpsmoodseku"/>
    <w:link w:val="Podtitul"/>
    <w:uiPriority w:val="11"/>
    <w:rsid w:val="00EB480E"/>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EB480E"/>
    <w:pPr>
      <w:spacing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EB480E"/>
    <w:rPr>
      <w:i w:val="1"/>
      <w:iCs w:val="1"/>
      <w:color w:val="404040" w:themeColor="text1" w:themeTint="0000BF"/>
    </w:rPr>
  </w:style>
  <w:style w:type="paragraph" w:styleId="Odsekzoznamu">
    <w:name w:val="List Paragraph"/>
    <w:basedOn w:val="Normlny"/>
    <w:uiPriority w:val="34"/>
    <w:qFormat w:val="1"/>
    <w:rsid w:val="00EB480E"/>
    <w:pPr>
      <w:ind w:left="720"/>
      <w:contextualSpacing w:val="1"/>
    </w:pPr>
  </w:style>
  <w:style w:type="character" w:styleId="Intenzvnezvraznenie">
    <w:name w:val="Intense Emphasis"/>
    <w:basedOn w:val="Predvolenpsmoodseku"/>
    <w:uiPriority w:val="21"/>
    <w:qFormat w:val="1"/>
    <w:rsid w:val="00EB480E"/>
    <w:rPr>
      <w:i w:val="1"/>
      <w:iCs w:val="1"/>
      <w:color w:val="0f4761" w:themeColor="accent1" w:themeShade="0000BF"/>
    </w:rPr>
  </w:style>
  <w:style w:type="paragraph" w:styleId="Zvraznencitcia">
    <w:name w:val="Intense Quote"/>
    <w:basedOn w:val="Normlny"/>
    <w:next w:val="Normlny"/>
    <w:link w:val="ZvraznencitciaChar"/>
    <w:uiPriority w:val="30"/>
    <w:qFormat w:val="1"/>
    <w:rsid w:val="00EB48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ZvraznencitciaChar" w:customStyle="1">
    <w:name w:val="Zvýraznená citácia Char"/>
    <w:basedOn w:val="Predvolenpsmoodseku"/>
    <w:link w:val="Zvraznencitcia"/>
    <w:uiPriority w:val="30"/>
    <w:rsid w:val="00EB480E"/>
    <w:rPr>
      <w:i w:val="1"/>
      <w:iCs w:val="1"/>
      <w:color w:val="0f4761" w:themeColor="accent1" w:themeShade="0000BF"/>
    </w:rPr>
  </w:style>
  <w:style w:type="character" w:styleId="Zvraznenodkaz">
    <w:name w:val="Intense Reference"/>
    <w:basedOn w:val="Predvolenpsmoodseku"/>
    <w:uiPriority w:val="32"/>
    <w:qFormat w:val="1"/>
    <w:rsid w:val="00EB480E"/>
    <w:rPr>
      <w:b w:val="1"/>
      <w:bCs w:val="1"/>
      <w:smallCaps w:val="1"/>
      <w:color w:val="0f4761" w:themeColor="accent1" w:themeShade="0000BF"/>
      <w:spacing w:val="5"/>
    </w:rPr>
  </w:style>
  <w:style w:type="table" w:styleId="Mriekatabuky">
    <w:name w:val="Table Grid"/>
    <w:basedOn w:val="Normlnatabuka"/>
    <w:uiPriority w:val="39"/>
    <w:rsid w:val="00EB480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kaznakomentr">
    <w:name w:val="annotation reference"/>
    <w:basedOn w:val="Predvolenpsmoodseku"/>
    <w:uiPriority w:val="99"/>
    <w:semiHidden w:val="1"/>
    <w:unhideWhenUsed w:val="1"/>
    <w:rsid w:val="00EB480E"/>
    <w:rPr>
      <w:sz w:val="16"/>
      <w:szCs w:val="16"/>
    </w:rPr>
  </w:style>
  <w:style w:type="paragraph" w:styleId="Textkomentra">
    <w:name w:val="annotation text"/>
    <w:basedOn w:val="Normlny"/>
    <w:link w:val="TextkomentraChar"/>
    <w:uiPriority w:val="99"/>
    <w:semiHidden w:val="1"/>
    <w:unhideWhenUsed w:val="1"/>
    <w:rPr>
      <w:sz w:val="20"/>
      <w:szCs w:val="20"/>
    </w:rPr>
  </w:style>
  <w:style w:type="character" w:styleId="TextkomentraChar" w:customStyle="1">
    <w:name w:val="Text komentára Char"/>
    <w:basedOn w:val="Predvolenpsmoodseku"/>
    <w:link w:val="Textkomentra"/>
    <w:uiPriority w:val="99"/>
    <w:semiHidden w:val="1"/>
    <w:rPr>
      <w:sz w:val="20"/>
      <w:szCs w:val="2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jm9oTKLRglJ2muxJFaa4M0Nrw==">CgMxLjA4AHIhMUtGMVN2a0dFdXRtZnNLNkppdkVvX1Q5SmZVSGdjZ1VQ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2024-02-13T07:40:00Z</dcterms:created>
  <dc:creator>Dolf van der Haven</dc:creator>
</cp:coreProperties>
</file>